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F8" w:rsidRDefault="00CD63F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D63F8" w:rsidRDefault="00CD63F8">
      <w:pPr>
        <w:pStyle w:val="ConsPlusNormal"/>
        <w:jc w:val="center"/>
        <w:outlineLvl w:val="0"/>
      </w:pPr>
    </w:p>
    <w:p w:rsidR="00CD63F8" w:rsidRDefault="00CD63F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D63F8" w:rsidRDefault="00CD63F8">
      <w:pPr>
        <w:pStyle w:val="ConsPlusTitle"/>
        <w:jc w:val="center"/>
      </w:pPr>
    </w:p>
    <w:p w:rsidR="00CD63F8" w:rsidRDefault="00CD63F8">
      <w:pPr>
        <w:pStyle w:val="ConsPlusTitle"/>
        <w:jc w:val="center"/>
      </w:pPr>
      <w:r>
        <w:t>ПОСТАНОВЛЕНИЕ</w:t>
      </w:r>
    </w:p>
    <w:p w:rsidR="00CD63F8" w:rsidRDefault="00CD63F8">
      <w:pPr>
        <w:pStyle w:val="ConsPlusTitle"/>
        <w:jc w:val="center"/>
      </w:pPr>
      <w:r>
        <w:t>от 10 октября 2023 г. N 1659</w:t>
      </w:r>
    </w:p>
    <w:p w:rsidR="00CD63F8" w:rsidRDefault="00CD63F8">
      <w:pPr>
        <w:pStyle w:val="ConsPlusTitle"/>
        <w:jc w:val="center"/>
      </w:pPr>
    </w:p>
    <w:p w:rsidR="00CD63F8" w:rsidRDefault="00CD63F8">
      <w:pPr>
        <w:pStyle w:val="ConsPlusTitle"/>
        <w:jc w:val="center"/>
      </w:pPr>
      <w:r>
        <w:t>О ВНЕСЕНИИ ИЗМЕНЕНИЙ</w:t>
      </w:r>
    </w:p>
    <w:p w:rsidR="00CD63F8" w:rsidRDefault="00CD63F8">
      <w:pPr>
        <w:pStyle w:val="ConsPlusTitle"/>
        <w:jc w:val="center"/>
      </w:pPr>
      <w:r>
        <w:t>В ПОСТАНОВЛЕНИЕ ПРАВИТЕЛЬСТВА РОССИЙСКОЙ ФЕДЕРАЦИИ</w:t>
      </w:r>
    </w:p>
    <w:p w:rsidR="00CD63F8" w:rsidRDefault="00CD63F8">
      <w:pPr>
        <w:pStyle w:val="ConsPlusTitle"/>
        <w:jc w:val="center"/>
      </w:pPr>
      <w:r>
        <w:t>ОТ 10 МАРТА 2022 Г. N 336</w:t>
      </w:r>
    </w:p>
    <w:p w:rsidR="00CD63F8" w:rsidRDefault="00CD63F8">
      <w:pPr>
        <w:pStyle w:val="ConsPlusNormal"/>
        <w:ind w:firstLine="540"/>
        <w:jc w:val="both"/>
      </w:pPr>
    </w:p>
    <w:p w:rsidR="00CD63F8" w:rsidRDefault="00CD63F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D63F8" w:rsidRDefault="00CD63F8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6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1715).</w:t>
      </w:r>
    </w:p>
    <w:p w:rsidR="00CD63F8" w:rsidRDefault="00CD63F8">
      <w:pPr>
        <w:pStyle w:val="ConsPlusNormal"/>
        <w:ind w:firstLine="540"/>
        <w:jc w:val="both"/>
      </w:pPr>
    </w:p>
    <w:p w:rsidR="00CD63F8" w:rsidRDefault="00CD63F8">
      <w:pPr>
        <w:pStyle w:val="ConsPlusNormal"/>
        <w:jc w:val="right"/>
      </w:pPr>
      <w:r>
        <w:t>Председатель Правительства</w:t>
      </w:r>
    </w:p>
    <w:p w:rsidR="00CD63F8" w:rsidRDefault="00CD63F8">
      <w:pPr>
        <w:pStyle w:val="ConsPlusNormal"/>
        <w:jc w:val="right"/>
      </w:pPr>
      <w:r>
        <w:t>Российской Федерации</w:t>
      </w:r>
    </w:p>
    <w:p w:rsidR="00CD63F8" w:rsidRDefault="00CD63F8">
      <w:pPr>
        <w:pStyle w:val="ConsPlusNormal"/>
        <w:jc w:val="right"/>
      </w:pPr>
      <w:r>
        <w:t>М.МИШУСТИН</w:t>
      </w:r>
    </w:p>
    <w:p w:rsidR="00CD63F8" w:rsidRDefault="00CD63F8">
      <w:pPr>
        <w:pStyle w:val="ConsPlusNormal"/>
        <w:ind w:firstLine="540"/>
        <w:jc w:val="both"/>
      </w:pPr>
    </w:p>
    <w:p w:rsidR="00CD63F8" w:rsidRDefault="00CD63F8">
      <w:pPr>
        <w:pStyle w:val="ConsPlusNormal"/>
        <w:ind w:firstLine="540"/>
        <w:jc w:val="both"/>
      </w:pPr>
    </w:p>
    <w:p w:rsidR="00CD63F8" w:rsidRDefault="00CD63F8">
      <w:pPr>
        <w:pStyle w:val="ConsPlusNormal"/>
        <w:ind w:firstLine="540"/>
        <w:jc w:val="both"/>
      </w:pPr>
    </w:p>
    <w:p w:rsidR="00CD63F8" w:rsidRDefault="00CD63F8">
      <w:pPr>
        <w:pStyle w:val="ConsPlusNormal"/>
        <w:ind w:firstLine="540"/>
        <w:jc w:val="both"/>
      </w:pPr>
    </w:p>
    <w:p w:rsidR="00CD63F8" w:rsidRDefault="00CD63F8">
      <w:pPr>
        <w:pStyle w:val="ConsPlusNormal"/>
        <w:ind w:firstLine="540"/>
        <w:jc w:val="both"/>
      </w:pPr>
    </w:p>
    <w:p w:rsidR="00CD63F8" w:rsidRDefault="00CD63F8">
      <w:pPr>
        <w:pStyle w:val="ConsPlusNormal"/>
        <w:jc w:val="right"/>
        <w:outlineLvl w:val="0"/>
      </w:pPr>
      <w:r>
        <w:t>Утверждены</w:t>
      </w:r>
    </w:p>
    <w:p w:rsidR="00CD63F8" w:rsidRDefault="00CD63F8">
      <w:pPr>
        <w:pStyle w:val="ConsPlusNormal"/>
        <w:jc w:val="right"/>
      </w:pPr>
      <w:r>
        <w:t>постановлением Правительства</w:t>
      </w:r>
    </w:p>
    <w:p w:rsidR="00CD63F8" w:rsidRDefault="00CD63F8">
      <w:pPr>
        <w:pStyle w:val="ConsPlusNormal"/>
        <w:jc w:val="right"/>
      </w:pPr>
      <w:r>
        <w:t>Российской Федерации</w:t>
      </w:r>
    </w:p>
    <w:p w:rsidR="00CD63F8" w:rsidRDefault="00CD63F8">
      <w:pPr>
        <w:pStyle w:val="ConsPlusNormal"/>
        <w:jc w:val="right"/>
      </w:pPr>
      <w:r>
        <w:t>от 10 октября 2023 г. N 1659</w:t>
      </w:r>
    </w:p>
    <w:p w:rsidR="00CD63F8" w:rsidRDefault="00CD63F8">
      <w:pPr>
        <w:pStyle w:val="ConsPlusNormal"/>
        <w:jc w:val="center"/>
      </w:pPr>
    </w:p>
    <w:p w:rsidR="00CD63F8" w:rsidRDefault="00CD63F8">
      <w:pPr>
        <w:pStyle w:val="ConsPlusTitle"/>
        <w:jc w:val="center"/>
      </w:pPr>
      <w:bookmarkStart w:id="0" w:name="P26"/>
      <w:bookmarkEnd w:id="0"/>
      <w:r>
        <w:t>ИЗМЕНЕНИЯ,</w:t>
      </w:r>
    </w:p>
    <w:p w:rsidR="00CD63F8" w:rsidRDefault="00CD63F8">
      <w:pPr>
        <w:pStyle w:val="ConsPlusTitle"/>
        <w:jc w:val="center"/>
      </w:pPr>
      <w:r>
        <w:t xml:space="preserve">КОТОРЫЕ ВНОСЯТСЯ В ПОСТАНОВЛЕНИЕ ПРАВИТЕЛЬСТВА </w:t>
      </w:r>
      <w:proofErr w:type="gramStart"/>
      <w:r>
        <w:t>РОССИЙСКОЙ</w:t>
      </w:r>
      <w:proofErr w:type="gramEnd"/>
    </w:p>
    <w:p w:rsidR="00CD63F8" w:rsidRDefault="00CD63F8">
      <w:pPr>
        <w:pStyle w:val="ConsPlusTitle"/>
        <w:jc w:val="center"/>
      </w:pPr>
      <w:r>
        <w:t>ФЕДЕРАЦИИ ОТ 10 МАРТА 2022 Г. N 336</w:t>
      </w:r>
    </w:p>
    <w:p w:rsidR="00CD63F8" w:rsidRDefault="00CD63F8">
      <w:pPr>
        <w:pStyle w:val="ConsPlusNormal"/>
        <w:jc w:val="center"/>
      </w:pPr>
    </w:p>
    <w:p w:rsidR="00CD63F8" w:rsidRDefault="00CD63F8">
      <w:pPr>
        <w:pStyle w:val="ConsPlusNormal"/>
        <w:ind w:firstLine="540"/>
        <w:jc w:val="both"/>
      </w:pPr>
      <w:r>
        <w:t xml:space="preserve">1. </w:t>
      </w:r>
      <w:hyperlink r:id="rId7">
        <w:r>
          <w:rPr>
            <w:color w:val="0000FF"/>
          </w:rPr>
          <w:t>Дополнить</w:t>
        </w:r>
      </w:hyperlink>
      <w:r>
        <w:t xml:space="preserve"> пунктами 11(8) и 11(9) следующего содержания:</w:t>
      </w:r>
    </w:p>
    <w:p w:rsidR="00CD63F8" w:rsidRDefault="00CD63F8">
      <w:pPr>
        <w:pStyle w:val="ConsPlusNormal"/>
        <w:spacing w:before="220"/>
        <w:ind w:firstLine="540"/>
        <w:jc w:val="both"/>
      </w:pPr>
      <w:r>
        <w:t xml:space="preserve">"11(8). </w:t>
      </w:r>
      <w:proofErr w:type="gramStart"/>
      <w:r>
        <w:t>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</w:t>
      </w:r>
      <w:proofErr w:type="gramEnd"/>
      <w:r>
        <w:t xml:space="preserve">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CD63F8" w:rsidRDefault="00CD63F8">
      <w:pPr>
        <w:pStyle w:val="ConsPlusNormal"/>
        <w:spacing w:before="220"/>
        <w:ind w:firstLine="540"/>
        <w:jc w:val="both"/>
      </w:pPr>
      <w:r>
        <w:t>11(9). Оценка соблюдения обязательных требований к обороту отдельных видов продукции осуществляется до 1 января 2025 г. в соответствии с требованиями настоящего постановления с учетом особенностей, предусмотренных приложениями N 1 и 2 к настоящему постановлению</w:t>
      </w:r>
      <w:proofErr w:type="gramStart"/>
      <w:r>
        <w:t>.".</w:t>
      </w:r>
      <w:proofErr w:type="gramEnd"/>
    </w:p>
    <w:p w:rsidR="00CD63F8" w:rsidRDefault="00CD63F8">
      <w:pPr>
        <w:pStyle w:val="ConsPlusNormal"/>
        <w:spacing w:before="220"/>
        <w:ind w:firstLine="540"/>
        <w:jc w:val="both"/>
      </w:pPr>
      <w:r>
        <w:t xml:space="preserve">2. </w:t>
      </w:r>
      <w:hyperlink r:id="rId8">
        <w:r>
          <w:rPr>
            <w:color w:val="0000FF"/>
          </w:rPr>
          <w:t>Дополнить</w:t>
        </w:r>
      </w:hyperlink>
      <w:r>
        <w:t xml:space="preserve"> приложениями N 1 и 2 следующего содержания:</w:t>
      </w:r>
    </w:p>
    <w:p w:rsidR="00CD63F8" w:rsidRDefault="00CD63F8">
      <w:pPr>
        <w:pStyle w:val="ConsPlusNormal"/>
        <w:jc w:val="center"/>
      </w:pPr>
    </w:p>
    <w:p w:rsidR="00CD63F8" w:rsidRDefault="00CD63F8">
      <w:pPr>
        <w:pStyle w:val="ConsPlusNormal"/>
        <w:jc w:val="right"/>
      </w:pPr>
      <w:r>
        <w:lastRenderedPageBreak/>
        <w:t>"Приложение N 1</w:t>
      </w:r>
    </w:p>
    <w:p w:rsidR="00CD63F8" w:rsidRDefault="00CD63F8">
      <w:pPr>
        <w:pStyle w:val="ConsPlusNormal"/>
        <w:jc w:val="right"/>
      </w:pPr>
      <w:r>
        <w:t>к постановлению Правительства</w:t>
      </w:r>
    </w:p>
    <w:p w:rsidR="00CD63F8" w:rsidRDefault="00CD63F8">
      <w:pPr>
        <w:pStyle w:val="ConsPlusNormal"/>
        <w:jc w:val="right"/>
      </w:pPr>
      <w:r>
        <w:t>Российской Федерации</w:t>
      </w:r>
    </w:p>
    <w:p w:rsidR="00CD63F8" w:rsidRDefault="00CD63F8">
      <w:pPr>
        <w:pStyle w:val="ConsPlusNormal"/>
        <w:jc w:val="right"/>
      </w:pPr>
      <w:r>
        <w:t>от 10 марта 2022 г. N 336</w:t>
      </w:r>
    </w:p>
    <w:p w:rsidR="00CD63F8" w:rsidRDefault="00CD63F8">
      <w:pPr>
        <w:pStyle w:val="ConsPlusNormal"/>
        <w:jc w:val="center"/>
      </w:pPr>
    </w:p>
    <w:p w:rsidR="00CD63F8" w:rsidRDefault="00CD63F8">
      <w:pPr>
        <w:pStyle w:val="ConsPlusNormal"/>
        <w:jc w:val="center"/>
      </w:pPr>
      <w:r>
        <w:t>ОСОБЕННОСТИ</w:t>
      </w:r>
    </w:p>
    <w:p w:rsidR="00CD63F8" w:rsidRDefault="00CD63F8">
      <w:pPr>
        <w:pStyle w:val="ConsPlusNormal"/>
        <w:jc w:val="center"/>
      </w:pPr>
      <w:r>
        <w:t xml:space="preserve">ОЦЕНКИ СОБЛЮДЕНИЯ ОБЯЗАТЕЛЬНЫХ ТРЕБОВАНИЙ </w:t>
      </w:r>
      <w:proofErr w:type="gramStart"/>
      <w:r>
        <w:t>К</w:t>
      </w:r>
      <w:proofErr w:type="gramEnd"/>
      <w:r>
        <w:t xml:space="preserve"> РОЗНИЧНОЙ</w:t>
      </w:r>
    </w:p>
    <w:p w:rsidR="00CD63F8" w:rsidRDefault="00CD63F8">
      <w:pPr>
        <w:pStyle w:val="ConsPlusNormal"/>
        <w:jc w:val="center"/>
      </w:pPr>
      <w:r>
        <w:t>РЕАЛИЗАЦИИ ТАБАЧНОЙ И НИКОТИНСОДЕРЖАЩЕЙ ПРОДУКЦИИ, КАЛЬЯНОВ</w:t>
      </w:r>
    </w:p>
    <w:p w:rsidR="00CD63F8" w:rsidRDefault="00CD63F8">
      <w:pPr>
        <w:pStyle w:val="ConsPlusNormal"/>
        <w:jc w:val="center"/>
      </w:pPr>
      <w:r>
        <w:t>И УСТРОЙСТВ ДЛЯ ПОТРЕБЛЕНИЯ НИКОТИНСОДЕРЖАЩЕЙ ПРОДУКЦИИ</w:t>
      </w:r>
    </w:p>
    <w:p w:rsidR="00CD63F8" w:rsidRDefault="00CD63F8">
      <w:pPr>
        <w:pStyle w:val="ConsPlusNormal"/>
        <w:jc w:val="center"/>
      </w:pPr>
      <w:r>
        <w:t>В РАМКАХ ФЕДЕРАЛЬНОГО ГОСУДАРСТВЕННОГО КОНТРОЛЯ (НАДЗОРА)</w:t>
      </w:r>
    </w:p>
    <w:p w:rsidR="00CD63F8" w:rsidRDefault="00CD63F8">
      <w:pPr>
        <w:pStyle w:val="ConsPlusNormal"/>
        <w:jc w:val="center"/>
      </w:pPr>
      <w:r>
        <w:t>В ОБЛАСТИ ЗАЩИТЫ ПРАВ ПОТРЕБИТЕЛЕЙ</w:t>
      </w:r>
    </w:p>
    <w:p w:rsidR="00CD63F8" w:rsidRDefault="00CD63F8">
      <w:pPr>
        <w:pStyle w:val="ConsPlusNormal"/>
        <w:jc w:val="center"/>
      </w:pPr>
    </w:p>
    <w:p w:rsidR="00CD63F8" w:rsidRDefault="00CD63F8">
      <w:pPr>
        <w:pStyle w:val="ConsPlusNormal"/>
        <w:ind w:firstLine="540"/>
        <w:jc w:val="both"/>
      </w:pPr>
      <w:r>
        <w:t>1. Оценка соблюдения обязательных требований к розничной реализации табачной 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CD63F8" w:rsidRDefault="00CD63F8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9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CD63F8" w:rsidRDefault="00CD63F8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CD63F8" w:rsidRDefault="00CD63F8">
      <w:pPr>
        <w:pStyle w:val="ConsPlusNormal"/>
        <w:spacing w:before="220"/>
        <w:ind w:firstLine="540"/>
        <w:jc w:val="both"/>
      </w:pPr>
      <w:r>
        <w:t>в) внеплановых контрольных (надзорных) мероприятий, проводимых по согласованию с органами прокуратуры, предусмотренных абзацами вторым - четвертым подпункта "а" пункта 3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CD63F8" w:rsidRDefault="00CD63F8">
      <w:pPr>
        <w:pStyle w:val="ConsPlusNormal"/>
        <w:spacing w:before="220"/>
        <w:ind w:firstLine="540"/>
        <w:jc w:val="both"/>
      </w:pPr>
      <w:r>
        <w:t>г) внеплановых контрольных (надзорных) мероприятий, проводимых без согласования с органами прокуратуры, предусмотренных абзацами вторым - пятым подпункта "б" пункта 3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CD63F8" w:rsidRDefault="00CD63F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0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</w:t>
      </w:r>
      <w:proofErr w:type="gramEnd"/>
      <w:r>
        <w:t xml:space="preserve"> выездных обследований, </w:t>
      </w:r>
      <w:proofErr w:type="gramStart"/>
      <w:r>
        <w:t>который</w:t>
      </w:r>
      <w:proofErr w:type="gramEnd"/>
      <w:r>
        <w:t xml:space="preserve">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CD63F8" w:rsidRDefault="00CD63F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целях применения положений пункта 2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следующие обстоятельства:</w:t>
      </w:r>
    </w:p>
    <w:p w:rsidR="00CD63F8" w:rsidRDefault="00CD63F8">
      <w:pPr>
        <w:pStyle w:val="ConsPlusNormal"/>
        <w:spacing w:before="220"/>
        <w:ind w:firstLine="540"/>
        <w:jc w:val="both"/>
      </w:pPr>
      <w:r>
        <w:t xml:space="preserve">а) предшествующие факты нарушения контролируемыми лицами обязательных требований </w:t>
      </w:r>
      <w:r>
        <w:lastRenderedPageBreak/>
        <w:t>в области оборота табачной 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продукции;</w:t>
      </w:r>
    </w:p>
    <w:p w:rsidR="00CD63F8" w:rsidRDefault="00CD63F8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продукции;</w:t>
      </w:r>
    </w:p>
    <w:p w:rsidR="00CD63F8" w:rsidRDefault="00CD63F8">
      <w:pPr>
        <w:pStyle w:val="ConsPlusNormal"/>
        <w:spacing w:before="220"/>
        <w:ind w:firstLine="540"/>
        <w:jc w:val="both"/>
      </w:pPr>
      <w:r>
        <w:t>в) сведения об объемах реализации табачной 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CD63F8" w:rsidRDefault="00CD63F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</w:t>
      </w:r>
      <w:hyperlink r:id="rId11">
        <w:r>
          <w:rPr>
            <w:color w:val="0000FF"/>
          </w:rPr>
          <w:t>частями 3</w:t>
        </w:r>
      </w:hyperlink>
      <w:r>
        <w:t xml:space="preserve"> - </w:t>
      </w:r>
      <w:hyperlink r:id="rId12">
        <w:r>
          <w:rPr>
            <w:color w:val="0000FF"/>
          </w:rPr>
          <w:t>5</w:t>
        </w:r>
      </w:hyperlink>
      <w:r>
        <w:t xml:space="preserve"> и </w:t>
      </w:r>
      <w:hyperlink r:id="rId13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</w:t>
      </w:r>
      <w:proofErr w:type="gramEnd"/>
      <w:r>
        <w:t xml:space="preserve">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CD63F8" w:rsidRDefault="00CD63F8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CD63F8" w:rsidRDefault="00CD63F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4">
        <w:r>
          <w:rPr>
            <w:color w:val="0000FF"/>
          </w:rPr>
          <w:t>подпунктами "а"</w:t>
        </w:r>
      </w:hyperlink>
      <w:r>
        <w:t xml:space="preserve"> и </w:t>
      </w:r>
      <w:hyperlink r:id="rId15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6">
        <w:r>
          <w:rPr>
            <w:color w:val="0000FF"/>
          </w:rPr>
          <w:t>частью 3 статьи 18</w:t>
        </w:r>
      </w:hyperlink>
      <w:r>
        <w:t xml:space="preserve">, </w:t>
      </w:r>
      <w:hyperlink r:id="rId17">
        <w:r>
          <w:rPr>
            <w:color w:val="0000FF"/>
          </w:rPr>
          <w:t>частями 6</w:t>
        </w:r>
      </w:hyperlink>
      <w:r>
        <w:t xml:space="preserve"> и </w:t>
      </w:r>
      <w:hyperlink r:id="rId18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r:id="rId19">
        <w:r>
          <w:rPr>
            <w:color w:val="0000FF"/>
          </w:rPr>
          <w:t>частью 5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пунктом 4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</w:t>
      </w:r>
      <w:proofErr w:type="gramEnd"/>
      <w:r>
        <w:t xml:space="preserve">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CD63F8" w:rsidRDefault="00CD63F8">
      <w:pPr>
        <w:pStyle w:val="ConsPlusNormal"/>
        <w:spacing w:before="220"/>
        <w:ind w:firstLine="540"/>
        <w:jc w:val="both"/>
      </w:pPr>
      <w:r>
        <w:t>6. В случае если в ходе выездного обследования одновременно выявлены нарушения обязательных требований, предусмотренных пунктами 4 и 5 настоящего документа, проводится контрольное (надзорное) мероприятие в соответствии с пунктом 5 настоящего документа.</w:t>
      </w:r>
    </w:p>
    <w:p w:rsidR="00CD63F8" w:rsidRDefault="00CD63F8">
      <w:pPr>
        <w:pStyle w:val="ConsPlusNormal"/>
        <w:spacing w:before="220"/>
        <w:ind w:firstLine="540"/>
        <w:jc w:val="both"/>
      </w:pPr>
      <w:r>
        <w:t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</w:t>
      </w:r>
      <w:proofErr w:type="gramStart"/>
      <w:r>
        <w:t>ств дл</w:t>
      </w:r>
      <w:proofErr w:type="gramEnd"/>
      <w:r>
        <w:t xml:space="preserve">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</w:t>
      </w:r>
      <w:r>
        <w:lastRenderedPageBreak/>
        <w:t>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CD63F8" w:rsidRDefault="00CD63F8">
      <w:pPr>
        <w:pStyle w:val="ConsPlusNormal"/>
        <w:jc w:val="center"/>
      </w:pPr>
    </w:p>
    <w:p w:rsidR="00CD63F8" w:rsidRDefault="00CD63F8">
      <w:pPr>
        <w:pStyle w:val="ConsPlusNormal"/>
        <w:jc w:val="center"/>
      </w:pPr>
    </w:p>
    <w:p w:rsidR="00CD63F8" w:rsidRDefault="00CD63F8">
      <w:pPr>
        <w:pStyle w:val="ConsPlusNormal"/>
        <w:jc w:val="center"/>
      </w:pPr>
    </w:p>
    <w:p w:rsidR="00CD63F8" w:rsidRDefault="00CD63F8">
      <w:pPr>
        <w:pStyle w:val="ConsPlusNormal"/>
        <w:jc w:val="center"/>
      </w:pPr>
    </w:p>
    <w:p w:rsidR="00CD63F8" w:rsidRDefault="00CD63F8">
      <w:pPr>
        <w:pStyle w:val="ConsPlusNormal"/>
        <w:jc w:val="center"/>
      </w:pPr>
    </w:p>
    <w:p w:rsidR="00CD63F8" w:rsidRDefault="00CD63F8">
      <w:pPr>
        <w:pStyle w:val="ConsPlusNormal"/>
        <w:jc w:val="right"/>
      </w:pPr>
      <w:r>
        <w:t>Приложение N 2</w:t>
      </w:r>
    </w:p>
    <w:p w:rsidR="00CD63F8" w:rsidRDefault="00CD63F8">
      <w:pPr>
        <w:pStyle w:val="ConsPlusNormal"/>
        <w:jc w:val="right"/>
      </w:pPr>
      <w:r>
        <w:t>к постановлению Правительства</w:t>
      </w:r>
    </w:p>
    <w:p w:rsidR="00CD63F8" w:rsidRDefault="00CD63F8">
      <w:pPr>
        <w:pStyle w:val="ConsPlusNormal"/>
        <w:jc w:val="right"/>
      </w:pPr>
      <w:r>
        <w:t>Российской Федерации</w:t>
      </w:r>
    </w:p>
    <w:p w:rsidR="00CD63F8" w:rsidRDefault="00CD63F8">
      <w:pPr>
        <w:pStyle w:val="ConsPlusNormal"/>
        <w:jc w:val="right"/>
      </w:pPr>
      <w:r>
        <w:t>от 10 марта 2022 г. N 336</w:t>
      </w:r>
    </w:p>
    <w:p w:rsidR="00CD63F8" w:rsidRDefault="00CD63F8">
      <w:pPr>
        <w:pStyle w:val="ConsPlusNormal"/>
        <w:jc w:val="center"/>
      </w:pPr>
    </w:p>
    <w:p w:rsidR="00CD63F8" w:rsidRDefault="00CD63F8">
      <w:pPr>
        <w:pStyle w:val="ConsPlusNormal"/>
        <w:jc w:val="center"/>
      </w:pPr>
      <w:r>
        <w:t>ОСОБЕННОСТИ</w:t>
      </w:r>
    </w:p>
    <w:p w:rsidR="00CD63F8" w:rsidRDefault="00CD63F8">
      <w:pPr>
        <w:pStyle w:val="ConsPlusNormal"/>
        <w:jc w:val="center"/>
      </w:pPr>
      <w:r>
        <w:t xml:space="preserve">ОЦЕНКИ СОБЛЮДЕНИЯ ОБЯЗАТЕЛЬНЫХ ТРЕБОВАНИЙ </w:t>
      </w:r>
      <w:proofErr w:type="gramStart"/>
      <w:r>
        <w:t>К</w:t>
      </w:r>
      <w:proofErr w:type="gramEnd"/>
      <w:r>
        <w:t xml:space="preserve"> РОЗНИЧНОЙ</w:t>
      </w:r>
    </w:p>
    <w:p w:rsidR="00CD63F8" w:rsidRDefault="00CD63F8">
      <w:pPr>
        <w:pStyle w:val="ConsPlusNormal"/>
        <w:jc w:val="center"/>
      </w:pPr>
      <w:r>
        <w:t>ПРОДАЖЕ АЛКОГОЛЬНОЙ И СПИРТОСОДЕРЖАЩЕЙ ПРОДУКЦИИ</w:t>
      </w:r>
    </w:p>
    <w:p w:rsidR="00CD63F8" w:rsidRDefault="00CD63F8">
      <w:pPr>
        <w:pStyle w:val="ConsPlusNormal"/>
        <w:jc w:val="center"/>
      </w:pPr>
      <w:r>
        <w:t>(В ТОМ ЧИСЛЕ ПРИ ОКАЗАНИИ УСЛУГ ОБЩЕСТВЕННОГО ПИТАНИЯ)</w:t>
      </w:r>
    </w:p>
    <w:p w:rsidR="00CD63F8" w:rsidRDefault="00CD63F8">
      <w:pPr>
        <w:pStyle w:val="ConsPlusNormal"/>
        <w:ind w:firstLine="540"/>
        <w:jc w:val="both"/>
      </w:pPr>
    </w:p>
    <w:p w:rsidR="00CD63F8" w:rsidRDefault="00CD63F8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CD63F8" w:rsidRDefault="00CD63F8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20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CD63F8" w:rsidRDefault="00CD63F8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CD63F8" w:rsidRDefault="00CD63F8">
      <w:pPr>
        <w:pStyle w:val="ConsPlusNormal"/>
        <w:spacing w:before="220"/>
        <w:ind w:firstLine="540"/>
        <w:jc w:val="both"/>
      </w:pPr>
      <w:r>
        <w:t>в) внеплановых контрольных (надзорных) мероприятий, проводимых по согласованию с органами прокуратуры, предусмотренных абзацами вторым - четвертым подпункта "а" пункта 3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CD63F8" w:rsidRDefault="00CD63F8">
      <w:pPr>
        <w:pStyle w:val="ConsPlusNormal"/>
        <w:spacing w:before="220"/>
        <w:ind w:firstLine="540"/>
        <w:jc w:val="both"/>
      </w:pPr>
      <w:r>
        <w:t>г) внеплановых контрольных (надзорных) мероприятий, проводимых без согласования с органами прокуратуры, предусмотренных абзацами вторым - пятым и десятым подпункта "б" пункта 3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CD63F8" w:rsidRDefault="00CD63F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21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</w:t>
      </w:r>
      <w:proofErr w:type="gramEnd"/>
      <w:r>
        <w:t xml:space="preserve">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:rsidR="00CD63F8" w:rsidRDefault="00CD63F8">
      <w:pPr>
        <w:pStyle w:val="ConsPlusNormal"/>
        <w:spacing w:before="220"/>
        <w:ind w:firstLine="540"/>
        <w:jc w:val="both"/>
      </w:pPr>
      <w:r>
        <w:t xml:space="preserve">3. В целях применения положений пункта 2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</w:t>
      </w:r>
      <w:r>
        <w:lastRenderedPageBreak/>
        <w:t xml:space="preserve">по согласованию с Министерством экономического развития Российской Федерации и Министерством промышленности и торговли Российской Федерации и </w:t>
      </w:r>
      <w:proofErr w:type="gramStart"/>
      <w:r>
        <w:t>учитывают</w:t>
      </w:r>
      <w:proofErr w:type="gramEnd"/>
      <w:r>
        <w:t xml:space="preserve"> в том числе следующие обстоятельства:</w:t>
      </w:r>
    </w:p>
    <w:p w:rsidR="00CD63F8" w:rsidRDefault="00CD63F8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CD63F8" w:rsidRDefault="00CD63F8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CD63F8" w:rsidRDefault="00CD63F8">
      <w:pPr>
        <w:pStyle w:val="ConsPlusNormal"/>
        <w:spacing w:before="22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CD63F8" w:rsidRDefault="00CD63F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</w:t>
      </w:r>
      <w:hyperlink r:id="rId22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</w:t>
      </w:r>
      <w:proofErr w:type="gramEnd"/>
      <w:r>
        <w:t>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CD63F8" w:rsidRDefault="00CD63F8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CD63F8" w:rsidRDefault="00CD63F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 случае если при проведении выездного обследования выявлены признаки нарушения обязательных требований, предусмотренных </w:t>
      </w:r>
      <w:hyperlink r:id="rId23">
        <w:r>
          <w:rPr>
            <w:color w:val="0000FF"/>
          </w:rPr>
          <w:t>пунктом 1</w:t>
        </w:r>
      </w:hyperlink>
      <w:r>
        <w:t xml:space="preserve">, </w:t>
      </w:r>
      <w:hyperlink r:id="rId24">
        <w:r>
          <w:rPr>
            <w:color w:val="0000FF"/>
          </w:rPr>
          <w:t>подпунктами 1</w:t>
        </w:r>
      </w:hyperlink>
      <w:r>
        <w:t xml:space="preserve"> - </w:t>
      </w:r>
      <w:hyperlink r:id="rId25">
        <w:r>
          <w:rPr>
            <w:color w:val="0000FF"/>
          </w:rPr>
          <w:t>10</w:t>
        </w:r>
      </w:hyperlink>
      <w:r>
        <w:t xml:space="preserve"> и </w:t>
      </w:r>
      <w:hyperlink r:id="rId26">
        <w:r>
          <w:rPr>
            <w:color w:val="0000FF"/>
          </w:rPr>
          <w:t>12</w:t>
        </w:r>
      </w:hyperlink>
      <w:r>
        <w:t xml:space="preserve"> - </w:t>
      </w:r>
      <w:hyperlink r:id="rId27">
        <w:r>
          <w:rPr>
            <w:color w:val="0000FF"/>
          </w:rPr>
          <w:t>15 пункта 2</w:t>
        </w:r>
      </w:hyperlink>
      <w:r>
        <w:t xml:space="preserve">, </w:t>
      </w:r>
      <w:hyperlink r:id="rId28">
        <w:r>
          <w:rPr>
            <w:color w:val="0000FF"/>
          </w:rPr>
          <w:t>пунктами 4</w:t>
        </w:r>
      </w:hyperlink>
      <w:r>
        <w:t xml:space="preserve">, </w:t>
      </w:r>
      <w:hyperlink r:id="rId29">
        <w:r>
          <w:rPr>
            <w:color w:val="0000FF"/>
          </w:rPr>
          <w:t>5</w:t>
        </w:r>
      </w:hyperlink>
      <w:r>
        <w:t xml:space="preserve"> и </w:t>
      </w:r>
      <w:hyperlink r:id="rId30">
        <w:r>
          <w:rPr>
            <w:color w:val="0000FF"/>
          </w:rPr>
          <w:t>9 статьи 16</w:t>
        </w:r>
      </w:hyperlink>
      <w:r>
        <w:t xml:space="preserve"> и </w:t>
      </w:r>
      <w:hyperlink r:id="rId31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пунктом 4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  <w:proofErr w:type="gramEnd"/>
    </w:p>
    <w:p w:rsidR="00CD63F8" w:rsidRDefault="00CD63F8">
      <w:pPr>
        <w:pStyle w:val="ConsPlusNormal"/>
        <w:spacing w:before="220"/>
        <w:ind w:firstLine="540"/>
        <w:jc w:val="both"/>
      </w:pPr>
      <w:r>
        <w:t>6. В случае если в ходе выездного обследования одновременно выявлены нарушения обязательных требований, предусмотренных пунктами 4 и 5 настоящего документа, проводится контрольное (надзорное) мероприятие в соответствии с пунктом 5 настоящего документа</w:t>
      </w:r>
      <w:proofErr w:type="gramStart"/>
      <w:r>
        <w:t>.".</w:t>
      </w:r>
      <w:proofErr w:type="gramEnd"/>
    </w:p>
    <w:p w:rsidR="00CD63F8" w:rsidRDefault="00CD63F8">
      <w:pPr>
        <w:pStyle w:val="ConsPlusNormal"/>
        <w:jc w:val="both"/>
      </w:pPr>
    </w:p>
    <w:p w:rsidR="00CD63F8" w:rsidRDefault="00CD63F8">
      <w:pPr>
        <w:pStyle w:val="ConsPlusNormal"/>
        <w:jc w:val="both"/>
      </w:pPr>
    </w:p>
    <w:p w:rsidR="00CD63F8" w:rsidRDefault="00CD63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17AB" w:rsidRDefault="002317AB">
      <w:bookmarkStart w:id="1" w:name="_GoBack"/>
      <w:bookmarkEnd w:id="1"/>
    </w:p>
    <w:sectPr w:rsidR="002317AB" w:rsidSect="0040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F8"/>
    <w:rsid w:val="002317AB"/>
    <w:rsid w:val="00C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63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D63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D63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63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D63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D63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C2DEDE46498B883C2793A00E5DB6E8B243028B4C2B9D35A489E3FC79EB0994ED9461F8DDDE0EADD7FD54418B5E9FF1BF5ABE9CAh2iEH" TargetMode="External"/><Relationship Id="rId18" Type="http://schemas.openxmlformats.org/officeDocument/2006/relationships/hyperlink" Target="consultantplus://offline/ref=BC2DEDE46498B883C2793A00E5DB6E8B243028B4C2B9D35A489E3FC79EB0994ED9461F8FDAEBBD8F3E8B1D4BF8A2F318E2B7E8C933147C37h7i8H" TargetMode="External"/><Relationship Id="rId26" Type="http://schemas.openxmlformats.org/officeDocument/2006/relationships/hyperlink" Target="consultantplus://offline/ref=BC2DEDE46498B883C2793A00E5DB6E8B24302DB0C2BAD35A489E3FC79EB0994ED9461F8FD9E3B6876FD10D4FB1F5F704EAA8F7CA2D14h7iF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C2DEDE46498B883C2793A00E5DB6E8B24322EB7C6B5D35A489E3FC79EB0994ED9461F8FDAEABF8D3D8B1D4BF8A2F318E2B7E8C933147C37h7i8H" TargetMode="External"/><Relationship Id="rId7" Type="http://schemas.openxmlformats.org/officeDocument/2006/relationships/hyperlink" Target="consultantplus://offline/ref=BC2DEDE46498B883C2793A00E5DB6E8B243126BEC3BAD35A489E3FC79EB0994ECB464783D8E2A08D3A9E4B1ABEhFi4H" TargetMode="External"/><Relationship Id="rId12" Type="http://schemas.openxmlformats.org/officeDocument/2006/relationships/hyperlink" Target="consultantplus://offline/ref=BC2DEDE46498B883C2793A00E5DB6E8B243028B4C2B9D35A489E3FC79EB0994ED9461F8BD2E0EADD7FD54418B5E9FF1BF5ABE9CAh2iEH" TargetMode="External"/><Relationship Id="rId17" Type="http://schemas.openxmlformats.org/officeDocument/2006/relationships/hyperlink" Target="consultantplus://offline/ref=BC2DEDE46498B883C2793A00E5DB6E8B243028B4C2B9D35A489E3FC79EB0994ED9461F8DDCE0EADD7FD54418B5E9FF1BF5ABE9CAh2iEH" TargetMode="External"/><Relationship Id="rId25" Type="http://schemas.openxmlformats.org/officeDocument/2006/relationships/hyperlink" Target="consultantplus://offline/ref=BC2DEDE46498B883C2793A00E5DB6E8B24302DB0C2BAD35A489E3FC79EB0994ED9461F8FDAEBB68F398B1D4BF8A2F318E2B7E8C933147C37h7i8H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C2DEDE46498B883C2793A00E5DB6E8B243028B4C2B9D35A489E3FC79EB0994ED9461F89D1BFEFC86E8D4B13A2F6FF04E9A9EBhCiBH" TargetMode="External"/><Relationship Id="rId20" Type="http://schemas.openxmlformats.org/officeDocument/2006/relationships/hyperlink" Target="consultantplus://offline/ref=BC2DEDE46498B883C2793A00E5DB6E8B24322EB7C6B5D35A489E3FC79EB0994ED9461F8FDAEBBC88338B1D4BF8A2F318E2B7E8C933147C37h7i8H" TargetMode="External"/><Relationship Id="rId29" Type="http://schemas.openxmlformats.org/officeDocument/2006/relationships/hyperlink" Target="consultantplus://offline/ref=BC2DEDE46498B883C2793A00E5DB6E8B24302DB0C2BAD35A489E3FC79EB0994ED9461F8FDAEBB689398B1D4BF8A2F318E2B7E8C933147C37h7i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2DEDE46498B883C2793A00E5DB6E8B243126BEC3BAD35A489E3FC79EB0994ECB464783D8E2A08D3A9E4B1ABEhFi4H" TargetMode="External"/><Relationship Id="rId11" Type="http://schemas.openxmlformats.org/officeDocument/2006/relationships/hyperlink" Target="consultantplus://offline/ref=BC2DEDE46498B883C2793A00E5DB6E8B243028B4C2B9D35A489E3FC79EB0994ED9461F8BDCE0EADD7FD54418B5E9FF1BF5ABE9CAh2iEH" TargetMode="External"/><Relationship Id="rId24" Type="http://schemas.openxmlformats.org/officeDocument/2006/relationships/hyperlink" Target="consultantplus://offline/ref=BC2DEDE46498B883C2793A00E5DB6E8B24302DB0C2BAD35A489E3FC79EB0994ED9461F8FDAEBB68D338B1D4BF8A2F318E2B7E8C933147C37h7i8H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C2DEDE46498B883C2793A00E5DB6E8B243028B4C2B9D35A489E3FC79EB0994ED9461F8FDAEBBD89338B1D4BF8A2F318E2B7E8C933147C37h7i8H" TargetMode="External"/><Relationship Id="rId23" Type="http://schemas.openxmlformats.org/officeDocument/2006/relationships/hyperlink" Target="consultantplus://offline/ref=BC2DEDE46498B883C2793A00E5DB6E8B24302DB0C2BAD35A489E3FC79EB0994ED9461F8FD9E3B8876FD10D4FB1F5F704EAA8F7CA2D14h7iFH" TargetMode="External"/><Relationship Id="rId28" Type="http://schemas.openxmlformats.org/officeDocument/2006/relationships/hyperlink" Target="consultantplus://offline/ref=BC2DEDE46498B883C2793A00E5DB6E8B24302DB0C2BAD35A489E3FC79EB0994ED9461F87DEEAB5D86AC41C17BEFEE01BEAB7EBC82Fh1i5H" TargetMode="External"/><Relationship Id="rId10" Type="http://schemas.openxmlformats.org/officeDocument/2006/relationships/hyperlink" Target="consultantplus://offline/ref=BC2DEDE46498B883C2793A00E5DB6E8B24322EB7C6B5D35A489E3FC79EB0994ED9461F8FDAEABF8D3D8B1D4BF8A2F318E2B7E8C933147C37h7i8H" TargetMode="External"/><Relationship Id="rId19" Type="http://schemas.openxmlformats.org/officeDocument/2006/relationships/hyperlink" Target="consultantplus://offline/ref=BC2DEDE46498B883C2793A00E5DB6E8B243027B3C1BDD35A489E3FC79EB0994ED9461F8FDBEFB5D86AC41C17BEFEE01BEAB7EBC82Fh1i5H" TargetMode="External"/><Relationship Id="rId31" Type="http://schemas.openxmlformats.org/officeDocument/2006/relationships/hyperlink" Target="consultantplus://offline/ref=BC2DEDE46498B883C2793A00E5DB6E8B24302DB0C2BAD35A489E3FC79EB0994ED9461F8FDCEDBD876FD10D4FB1F5F704EAA8F7CA2D14h7i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2DEDE46498B883C2793A00E5DB6E8B24322EB7C6B5D35A489E3FC79EB0994ED9461F8FDAEBBC88338B1D4BF8A2F318E2B7E8C933147C37h7i8H" TargetMode="External"/><Relationship Id="rId14" Type="http://schemas.openxmlformats.org/officeDocument/2006/relationships/hyperlink" Target="consultantplus://offline/ref=BC2DEDE46498B883C2793A00E5DB6E8B243028B4C2B9D35A489E3FC79EB0994ED9461F8FD2E0EADD7FD54418B5E9FF1BF5ABE9CAh2iEH" TargetMode="External"/><Relationship Id="rId22" Type="http://schemas.openxmlformats.org/officeDocument/2006/relationships/hyperlink" Target="consultantplus://offline/ref=BC2DEDE46498B883C2793A00E5DB6E8B24302DB0C2BAD35A489E3FC79EB0994ED9461F8FDAEBB78A398B1D4BF8A2F318E2B7E8C933147C37h7i8H" TargetMode="External"/><Relationship Id="rId27" Type="http://schemas.openxmlformats.org/officeDocument/2006/relationships/hyperlink" Target="consultantplus://offline/ref=BC2DEDE46498B883C2793A00E5DB6E8B24302DB0C2BAD35A489E3FC79EB0994ED9461F8FDAEBB688388B1D4BF8A2F318E2B7E8C933147C37h7i8H" TargetMode="External"/><Relationship Id="rId30" Type="http://schemas.openxmlformats.org/officeDocument/2006/relationships/hyperlink" Target="consultantplus://offline/ref=BC2DEDE46498B883C2793A00E5DB6E8B24302DB0C2BAD35A489E3FC79EB0994ED9461F8FDAEBB68B3A8B1D4BF8A2F318E2B7E8C933147C37h7i8H" TargetMode="External"/><Relationship Id="rId8" Type="http://schemas.openxmlformats.org/officeDocument/2006/relationships/hyperlink" Target="consultantplus://offline/ref=BC2DEDE46498B883C2793A00E5DB6E8B243126BEC3BAD35A489E3FC79EB0994ECB464783D8E2A08D3A9E4B1ABEhFi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2023-11-29T07:34:00Z</dcterms:created>
  <dcterms:modified xsi:type="dcterms:W3CDTF">2023-11-29T07:35:00Z</dcterms:modified>
</cp:coreProperties>
</file>